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31BDA" w14:textId="77777777" w:rsidR="00506E7A" w:rsidRPr="00506E7A" w:rsidRDefault="00506E7A" w:rsidP="00456E26">
      <w:pPr>
        <w:pStyle w:val="Spacer"/>
        <w:numPr>
          <w:ilvl w:val="0"/>
          <w:numId w:val="3"/>
        </w:numPr>
        <w:rPr>
          <w:rFonts w:ascii="Arial" w:hAnsi="Arial" w:cs="Arial"/>
          <w:szCs w:val="22"/>
        </w:rPr>
        <w:sectPr w:rsidR="00506E7A" w:rsidRPr="00506E7A" w:rsidSect="00467C5D">
          <w:footerReference w:type="default" r:id="rId7"/>
          <w:headerReference w:type="first" r:id="rId8"/>
          <w:pgSz w:w="11907" w:h="16840" w:code="9"/>
          <w:pgMar w:top="785" w:right="1021" w:bottom="1247" w:left="1021" w:header="568" w:footer="510" w:gutter="0"/>
          <w:cols w:space="708"/>
          <w:titlePg/>
          <w:docGrid w:linePitch="360"/>
        </w:sectPr>
      </w:pPr>
      <w:bookmarkStart w:id="0" w:name="_GoBack"/>
      <w:bookmarkEnd w:id="0"/>
    </w:p>
    <w:p w14:paraId="1B20784D" w14:textId="77777777" w:rsidR="00506E7A" w:rsidRPr="00506E7A" w:rsidRDefault="00506E7A" w:rsidP="00506E7A">
      <w:pPr>
        <w:pStyle w:val="Title"/>
        <w:rPr>
          <w:rFonts w:ascii="Arial" w:hAnsi="Arial" w:cs="Arial"/>
          <w:sz w:val="52"/>
          <w:szCs w:val="52"/>
        </w:rPr>
      </w:pPr>
      <w:r w:rsidRPr="00506E7A">
        <w:rPr>
          <w:rFonts w:ascii="Arial" w:hAnsi="Arial" w:cs="Arial"/>
          <w:sz w:val="52"/>
          <w:szCs w:val="52"/>
        </w:rPr>
        <w:t>Good oxygen housekeeping</w:t>
      </w:r>
    </w:p>
    <w:p w14:paraId="47B3F06C" w14:textId="77777777" w:rsidR="00506E7A" w:rsidRPr="00506E7A" w:rsidRDefault="00506E7A" w:rsidP="00506E7A">
      <w:pPr>
        <w:pStyle w:val="IntroText"/>
        <w:spacing w:after="240"/>
        <w:rPr>
          <w:rFonts w:ascii="Arial" w:hAnsi="Arial" w:cs="Arial"/>
        </w:rPr>
      </w:pPr>
      <w:r w:rsidRPr="00506E7A">
        <w:rPr>
          <w:rFonts w:ascii="Arial" w:hAnsi="Arial" w:cs="Arial"/>
        </w:rPr>
        <w:t>Hospital level review</w:t>
      </w:r>
    </w:p>
    <w:p w14:paraId="5D1B3FE4" w14:textId="1506A151" w:rsidR="00506E7A" w:rsidRDefault="00506E7A" w:rsidP="00506E7A">
      <w:pPr>
        <w:pStyle w:val="BodyText2"/>
        <w:ind w:right="425"/>
        <w:rPr>
          <w:rFonts w:ascii="Arial" w:hAnsi="Arial" w:cs="Arial"/>
          <w:sz w:val="22"/>
          <w:szCs w:val="22"/>
        </w:rPr>
      </w:pPr>
      <w:r w:rsidRPr="00506E7A">
        <w:rPr>
          <w:rFonts w:ascii="Arial" w:hAnsi="Arial" w:cs="Arial"/>
          <w:sz w:val="22"/>
          <w:szCs w:val="22"/>
        </w:rPr>
        <w:t>Increased numbers of COVID-19 admissions will increase oxygen demand in hospitals. This poses risk to</w:t>
      </w:r>
      <w:r w:rsidR="00663BCA">
        <w:rPr>
          <w:rFonts w:ascii="Arial" w:hAnsi="Arial" w:cs="Arial"/>
          <w:sz w:val="22"/>
          <w:szCs w:val="22"/>
        </w:rPr>
        <w:t xml:space="preserve"> oxygen </w:t>
      </w:r>
      <w:r w:rsidRPr="00506E7A">
        <w:rPr>
          <w:rFonts w:ascii="Arial" w:hAnsi="Arial" w:cs="Arial"/>
          <w:sz w:val="22"/>
          <w:szCs w:val="22"/>
        </w:rPr>
        <w:t>supplies and potential increased fire risks.</w:t>
      </w:r>
    </w:p>
    <w:p w14:paraId="796EF3CD" w14:textId="4BBE2782" w:rsidR="00506E7A" w:rsidRDefault="00506E7A" w:rsidP="00506E7A">
      <w:pPr>
        <w:pStyle w:val="BodyText2"/>
        <w:ind w:right="425"/>
        <w:rPr>
          <w:rFonts w:ascii="Arial" w:hAnsi="Arial" w:cs="Arial"/>
          <w:b/>
          <w:bCs/>
          <w:sz w:val="22"/>
          <w:szCs w:val="22"/>
        </w:rPr>
      </w:pPr>
      <w:r w:rsidRPr="00506E7A">
        <w:rPr>
          <w:rFonts w:ascii="Arial" w:hAnsi="Arial" w:cs="Arial"/>
          <w:b/>
          <w:bCs/>
          <w:sz w:val="22"/>
          <w:szCs w:val="22"/>
        </w:rPr>
        <w:t xml:space="preserve">If demand through multiple wall outlets exceeds the maximum capacity, there is a risk of rapid drop in oxygen pipeline supply. This may risk </w:t>
      </w:r>
      <w:r w:rsidR="00663BCA">
        <w:rPr>
          <w:rFonts w:ascii="Arial" w:hAnsi="Arial" w:cs="Arial"/>
          <w:b/>
          <w:bCs/>
          <w:sz w:val="22"/>
          <w:szCs w:val="22"/>
        </w:rPr>
        <w:t xml:space="preserve">failure </w:t>
      </w:r>
      <w:r w:rsidRPr="00506E7A">
        <w:rPr>
          <w:rFonts w:ascii="Arial" w:hAnsi="Arial" w:cs="Arial"/>
          <w:b/>
          <w:bCs/>
          <w:sz w:val="22"/>
          <w:szCs w:val="22"/>
        </w:rPr>
        <w:t>or reduc</w:t>
      </w:r>
      <w:r w:rsidR="00663BCA">
        <w:rPr>
          <w:rFonts w:ascii="Arial" w:hAnsi="Arial" w:cs="Arial"/>
          <w:b/>
          <w:bCs/>
          <w:sz w:val="22"/>
          <w:szCs w:val="22"/>
        </w:rPr>
        <w:t xml:space="preserve">tion in </w:t>
      </w:r>
      <w:r w:rsidRPr="00506E7A">
        <w:rPr>
          <w:rFonts w:ascii="Arial" w:hAnsi="Arial" w:cs="Arial"/>
          <w:b/>
          <w:bCs/>
          <w:sz w:val="22"/>
          <w:szCs w:val="22"/>
        </w:rPr>
        <w:t>oxygen supplied to individual patients or ventilators.</w:t>
      </w:r>
    </w:p>
    <w:p w14:paraId="4862E324" w14:textId="4FF164B6" w:rsidR="00504F96" w:rsidRPr="00504F96" w:rsidRDefault="00504F96" w:rsidP="00506E7A">
      <w:pPr>
        <w:pStyle w:val="BodyText2"/>
        <w:ind w:right="425"/>
        <w:rPr>
          <w:rFonts w:ascii="Arial" w:hAnsi="Arial" w:cs="Arial"/>
          <w:sz w:val="22"/>
          <w:szCs w:val="22"/>
        </w:rPr>
      </w:pPr>
      <w:r w:rsidRPr="00504F96">
        <w:rPr>
          <w:rFonts w:ascii="Arial" w:hAnsi="Arial" w:cs="Arial"/>
          <w:sz w:val="22"/>
          <w:szCs w:val="22"/>
        </w:rPr>
        <w:t>The steps below should help hospitals assess the risk of this occurring and take appropriate preventative steps</w:t>
      </w:r>
      <w:r>
        <w:rPr>
          <w:rFonts w:ascii="Arial" w:hAnsi="Arial" w:cs="Arial"/>
          <w:sz w:val="22"/>
          <w:szCs w:val="22"/>
        </w:rPr>
        <w:t xml:space="preserve">.  In addition, Hospitals should also separately consider the capacity of pipework to individual </w:t>
      </w:r>
      <w:r w:rsidRPr="00504F96">
        <w:rPr>
          <w:rFonts w:ascii="Arial" w:hAnsi="Arial" w:cs="Arial"/>
          <w:sz w:val="22"/>
          <w:szCs w:val="22"/>
        </w:rPr>
        <w:t>wards / units.</w:t>
      </w:r>
    </w:p>
    <w:p w14:paraId="308C07D8" w14:textId="6FF504F1" w:rsidR="00506E7A" w:rsidRPr="00504F96" w:rsidRDefault="00506E7A" w:rsidP="00506E7A">
      <w:pPr>
        <w:pStyle w:val="BodyText2"/>
        <w:ind w:right="425"/>
        <w:rPr>
          <w:rFonts w:ascii="Arial" w:hAnsi="Arial" w:cs="Arial"/>
          <w:b/>
          <w:bCs/>
          <w:sz w:val="22"/>
          <w:szCs w:val="22"/>
        </w:rPr>
      </w:pPr>
      <w:r w:rsidRPr="00504F96">
        <w:rPr>
          <w:rFonts w:ascii="Arial" w:hAnsi="Arial" w:cs="Arial"/>
          <w:b/>
          <w:bCs/>
          <w:sz w:val="22"/>
          <w:szCs w:val="22"/>
        </w:rPr>
        <w:t>STEP 1 (one-off actions):</w:t>
      </w:r>
      <w:r w:rsidRPr="00504F96">
        <w:rPr>
          <w:rFonts w:ascii="Arial" w:hAnsi="Arial" w:cs="Arial"/>
          <w:b/>
          <w:bCs/>
          <w:sz w:val="22"/>
          <w:szCs w:val="22"/>
        </w:rPr>
        <w:br/>
      </w:r>
      <w:r w:rsidRPr="00504F96">
        <w:rPr>
          <w:rFonts w:ascii="Arial" w:hAnsi="Arial" w:cs="Arial"/>
          <w:sz w:val="22"/>
          <w:szCs w:val="22"/>
        </w:rPr>
        <w:t xml:space="preserve">DOCUMENT VIE </w:t>
      </w:r>
      <w:r w:rsidR="00456E26" w:rsidRPr="00504F96">
        <w:rPr>
          <w:rFonts w:ascii="Arial" w:hAnsi="Arial" w:cs="Arial"/>
          <w:sz w:val="22"/>
          <w:szCs w:val="22"/>
        </w:rPr>
        <w:t xml:space="preserve">MAXIMUM SUSTAINABLE </w:t>
      </w:r>
      <w:r w:rsidRPr="00504F96">
        <w:rPr>
          <w:rFonts w:ascii="Arial" w:hAnsi="Arial" w:cs="Arial"/>
          <w:sz w:val="22"/>
          <w:szCs w:val="22"/>
        </w:rPr>
        <w:t>OUTFLOW TOTAL</w:t>
      </w:r>
      <w:r w:rsidR="002E2FE5">
        <w:rPr>
          <w:rFonts w:ascii="Arial" w:hAnsi="Arial" w:cs="Arial"/>
          <w:sz w:val="22"/>
          <w:szCs w:val="22"/>
        </w:rPr>
        <w:t>. A</w:t>
      </w:r>
      <w:r w:rsidRPr="00504F96">
        <w:rPr>
          <w:rFonts w:ascii="Arial" w:hAnsi="Arial" w:cs="Arial"/>
          <w:sz w:val="22"/>
          <w:szCs w:val="22"/>
        </w:rPr>
        <w:t>sk</w:t>
      </w:r>
      <w:r w:rsidR="002E2FE5">
        <w:rPr>
          <w:rFonts w:ascii="Arial" w:hAnsi="Arial" w:cs="Arial"/>
          <w:sz w:val="22"/>
          <w:szCs w:val="22"/>
        </w:rPr>
        <w:t xml:space="preserve"> </w:t>
      </w:r>
      <w:r w:rsidRPr="00504F96">
        <w:rPr>
          <w:rFonts w:ascii="Arial" w:hAnsi="Arial" w:cs="Arial"/>
          <w:sz w:val="22"/>
          <w:szCs w:val="22"/>
        </w:rPr>
        <w:t xml:space="preserve">your oxygen or medical engineering team for this information – it will not change unless major </w:t>
      </w:r>
      <w:r w:rsidR="00F27B18" w:rsidRPr="00504F96">
        <w:rPr>
          <w:rFonts w:ascii="Arial" w:hAnsi="Arial" w:cs="Arial"/>
          <w:sz w:val="22"/>
          <w:szCs w:val="22"/>
        </w:rPr>
        <w:t xml:space="preserve">engineering work is undertaken: </w:t>
      </w:r>
      <w:r w:rsidRPr="00504F96">
        <w:rPr>
          <w:rFonts w:ascii="Arial" w:hAnsi="Arial" w:cs="Arial"/>
          <w:sz w:val="22"/>
          <w:szCs w:val="22"/>
        </w:rPr>
        <w:t>________ litres / minute</w:t>
      </w:r>
      <w:r w:rsidR="00D44743" w:rsidRPr="00504F96">
        <w:rPr>
          <w:rFonts w:ascii="Arial" w:hAnsi="Arial" w:cs="Arial"/>
          <w:sz w:val="22"/>
          <w:szCs w:val="22"/>
        </w:rPr>
        <w:t>.</w:t>
      </w:r>
      <w:r w:rsidRPr="00504F96">
        <w:rPr>
          <w:rFonts w:ascii="Arial" w:hAnsi="Arial" w:cs="Arial"/>
          <w:sz w:val="22"/>
          <w:szCs w:val="22"/>
        </w:rPr>
        <w:t xml:space="preserve"> </w:t>
      </w:r>
    </w:p>
    <w:p w14:paraId="0715B36D" w14:textId="0033509F" w:rsidR="00506E7A" w:rsidRPr="00504F96" w:rsidRDefault="00506E7A" w:rsidP="00506E7A">
      <w:pPr>
        <w:pStyle w:val="BodyText2"/>
        <w:rPr>
          <w:rFonts w:ascii="Arial" w:hAnsi="Arial" w:cs="Arial"/>
          <w:sz w:val="22"/>
          <w:szCs w:val="22"/>
        </w:rPr>
      </w:pPr>
      <w:r w:rsidRPr="00504F96">
        <w:rPr>
          <w:rFonts w:ascii="Arial" w:hAnsi="Arial" w:cs="Arial"/>
          <w:b/>
          <w:bCs/>
          <w:sz w:val="22"/>
          <w:szCs w:val="22"/>
        </w:rPr>
        <w:t xml:space="preserve">STEP 2 (complete daily): </w:t>
      </w:r>
      <w:r w:rsidRPr="00504F96">
        <w:rPr>
          <w:rFonts w:ascii="Arial" w:hAnsi="Arial" w:cs="Arial"/>
          <w:b/>
          <w:bCs/>
          <w:sz w:val="22"/>
          <w:szCs w:val="22"/>
        </w:rPr>
        <w:br/>
      </w:r>
      <w:r w:rsidRPr="00504F96">
        <w:rPr>
          <w:rFonts w:ascii="Arial" w:hAnsi="Arial" w:cs="Arial"/>
          <w:sz w:val="22"/>
          <w:szCs w:val="22"/>
        </w:rPr>
        <w:t>USE THE FOLLOWING GUIDE</w:t>
      </w:r>
      <w:r w:rsidR="00456E26" w:rsidRPr="00504F96">
        <w:rPr>
          <w:rFonts w:ascii="Arial" w:hAnsi="Arial" w:cs="Arial"/>
          <w:sz w:val="22"/>
          <w:szCs w:val="22"/>
        </w:rPr>
        <w:t xml:space="preserve">, OR LOCALLY AMENDED EQUIVALENT, </w:t>
      </w:r>
      <w:r w:rsidRPr="00504F96">
        <w:rPr>
          <w:rFonts w:ascii="Arial" w:hAnsi="Arial" w:cs="Arial"/>
          <w:sz w:val="22"/>
          <w:szCs w:val="22"/>
        </w:rPr>
        <w:t>TO CALCULATE YOUR HOSPITAL’S TOTAL OXYGEN DEMAND</w:t>
      </w:r>
    </w:p>
    <w:tbl>
      <w:tblPr>
        <w:tblStyle w:val="NHSTable"/>
        <w:tblW w:w="0" w:type="auto"/>
        <w:tblLook w:val="05E0" w:firstRow="1" w:lastRow="1" w:firstColumn="1" w:lastColumn="1" w:noHBand="0" w:noVBand="1"/>
      </w:tblPr>
      <w:tblGrid>
        <w:gridCol w:w="5245"/>
        <w:gridCol w:w="1530"/>
        <w:gridCol w:w="1800"/>
        <w:gridCol w:w="1490"/>
      </w:tblGrid>
      <w:tr w:rsidR="00506E7A" w:rsidRPr="00506E7A" w14:paraId="41F2610D" w14:textId="77777777" w:rsidTr="00F97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45" w:type="dxa"/>
          </w:tcPr>
          <w:p w14:paraId="66911AC9" w14:textId="1696D109" w:rsidR="00506E7A" w:rsidRPr="00506E7A" w:rsidRDefault="00506E7A" w:rsidP="00F97DB7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506E7A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Device</w:t>
            </w:r>
            <w:r w:rsidR="002E2FE5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 xml:space="preserve"> Type</w:t>
            </w:r>
          </w:p>
        </w:tc>
        <w:tc>
          <w:tcPr>
            <w:tcW w:w="1530" w:type="dxa"/>
          </w:tcPr>
          <w:p w14:paraId="67BD8814" w14:textId="7268F161" w:rsidR="00506E7A" w:rsidRPr="00506E7A" w:rsidRDefault="00506E7A" w:rsidP="00F97DB7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506E7A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Number</w:t>
            </w:r>
            <w:r w:rsidR="002E2FE5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 xml:space="preserve"> of devices</w:t>
            </w:r>
            <w:r w:rsidRPr="00506E7A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 xml:space="preserve"> (A)</w:t>
            </w:r>
          </w:p>
        </w:tc>
        <w:tc>
          <w:tcPr>
            <w:tcW w:w="1800" w:type="dxa"/>
          </w:tcPr>
          <w:p w14:paraId="6D1A5927" w14:textId="222249FB" w:rsidR="00506E7A" w:rsidRPr="00506E7A" w:rsidRDefault="00456E26" w:rsidP="00F97DB7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310945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Illustrative</w:t>
            </w:r>
            <w:r w:rsidR="00F27B18" w:rsidRPr="00310945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 xml:space="preserve"> </w:t>
            </w:r>
            <w:r w:rsidR="00F27B18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d</w:t>
            </w:r>
            <w:r w:rsidR="00506E7A" w:rsidRPr="00506E7A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evice consumption (l/min) (B)</w:t>
            </w:r>
          </w:p>
        </w:tc>
        <w:tc>
          <w:tcPr>
            <w:tcW w:w="1490" w:type="dxa"/>
          </w:tcPr>
          <w:p w14:paraId="26DB30F8" w14:textId="1A3D6E99" w:rsidR="00506E7A" w:rsidRPr="00506E7A" w:rsidRDefault="00506E7A" w:rsidP="00F97DB7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506E7A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Total flow (</w:t>
            </w:r>
            <w:proofErr w:type="spellStart"/>
            <w:r w:rsidRPr="00506E7A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A</w:t>
            </w:r>
            <w:r w:rsidR="002E2FE5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x</w:t>
            </w:r>
            <w:r w:rsidRPr="00506E7A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B</w:t>
            </w:r>
            <w:proofErr w:type="spellEnd"/>
            <w:r w:rsidRPr="00506E7A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)</w:t>
            </w:r>
          </w:p>
        </w:tc>
      </w:tr>
      <w:tr w:rsidR="00506E7A" w:rsidRPr="00506E7A" w14:paraId="2EBCF0D8" w14:textId="77777777" w:rsidTr="00F9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5" w:type="dxa"/>
          </w:tcPr>
          <w:p w14:paraId="0A820A17" w14:textId="77777777" w:rsidR="00506E7A" w:rsidRPr="00506E7A" w:rsidRDefault="00506E7A" w:rsidP="00F97DB7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06E7A">
              <w:rPr>
                <w:rFonts w:ascii="Arial" w:hAnsi="Arial" w:cs="Arial"/>
                <w:sz w:val="21"/>
                <w:szCs w:val="21"/>
                <w:lang w:val="en-GB"/>
              </w:rPr>
              <w:t>Face mask or nasal cannula O</w:t>
            </w:r>
            <w:r w:rsidRPr="00506E7A">
              <w:rPr>
                <w:rFonts w:ascii="Arial" w:hAnsi="Arial" w:cs="Arial"/>
                <w:sz w:val="21"/>
                <w:szCs w:val="21"/>
                <w:vertAlign w:val="subscript"/>
                <w:lang w:val="en-GB"/>
              </w:rPr>
              <w:t>2</w:t>
            </w:r>
          </w:p>
        </w:tc>
        <w:tc>
          <w:tcPr>
            <w:tcW w:w="1530" w:type="dxa"/>
          </w:tcPr>
          <w:p w14:paraId="39C9CA14" w14:textId="77777777" w:rsidR="00506E7A" w:rsidRPr="00506E7A" w:rsidRDefault="00506E7A" w:rsidP="00F97DB7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1800" w:type="dxa"/>
          </w:tcPr>
          <w:p w14:paraId="0D5A442D" w14:textId="2CB08CD2" w:rsidR="00506E7A" w:rsidRPr="00506E7A" w:rsidRDefault="00456E26" w:rsidP="00F97DB7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1</w:t>
            </w:r>
            <w:r w:rsidR="00506E7A" w:rsidRPr="00506E7A">
              <w:rPr>
                <w:rFonts w:ascii="Arial" w:hAnsi="Arial" w:cs="Arial"/>
                <w:sz w:val="21"/>
                <w:szCs w:val="21"/>
                <w:lang w:val="en-GB"/>
              </w:rPr>
              <w:t>0</w:t>
            </w:r>
          </w:p>
        </w:tc>
        <w:tc>
          <w:tcPr>
            <w:tcW w:w="1490" w:type="dxa"/>
          </w:tcPr>
          <w:p w14:paraId="5AF61CD5" w14:textId="77777777" w:rsidR="00506E7A" w:rsidRPr="00506E7A" w:rsidRDefault="00506E7A" w:rsidP="00F97DB7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506E7A" w:rsidRPr="00506E7A" w14:paraId="257FF730" w14:textId="77777777" w:rsidTr="00F97DB7">
        <w:tc>
          <w:tcPr>
            <w:tcW w:w="5245" w:type="dxa"/>
          </w:tcPr>
          <w:p w14:paraId="217063AA" w14:textId="77777777" w:rsidR="00506E7A" w:rsidRPr="00506E7A" w:rsidRDefault="00506E7A" w:rsidP="00F97DB7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06E7A">
              <w:rPr>
                <w:rFonts w:ascii="Arial" w:hAnsi="Arial" w:cs="Arial"/>
                <w:sz w:val="21"/>
                <w:szCs w:val="21"/>
                <w:lang w:val="en-GB"/>
              </w:rPr>
              <w:t>High flow nasal oxygen (HFNO</w:t>
            </w:r>
            <w:r w:rsidRPr="00506E7A">
              <w:rPr>
                <w:rFonts w:ascii="Arial" w:hAnsi="Arial" w:cs="Arial"/>
                <w:sz w:val="21"/>
                <w:szCs w:val="21"/>
                <w:vertAlign w:val="subscript"/>
                <w:lang w:val="en-GB"/>
              </w:rPr>
              <w:t>2</w:t>
            </w:r>
            <w:r w:rsidRPr="00506E7A">
              <w:rPr>
                <w:rFonts w:ascii="Arial" w:hAnsi="Arial" w:cs="Arial"/>
                <w:sz w:val="21"/>
                <w:szCs w:val="21"/>
                <w:lang w:val="en-GB"/>
              </w:rPr>
              <w:t>)</w:t>
            </w:r>
          </w:p>
        </w:tc>
        <w:tc>
          <w:tcPr>
            <w:tcW w:w="1530" w:type="dxa"/>
          </w:tcPr>
          <w:p w14:paraId="6FAC3863" w14:textId="77777777" w:rsidR="00506E7A" w:rsidRPr="00506E7A" w:rsidRDefault="00506E7A" w:rsidP="00F97DB7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1800" w:type="dxa"/>
          </w:tcPr>
          <w:p w14:paraId="3CFC20AE" w14:textId="6D92C871" w:rsidR="00506E7A" w:rsidRPr="00506E7A" w:rsidRDefault="00544647" w:rsidP="00F97DB7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40</w:t>
            </w:r>
          </w:p>
        </w:tc>
        <w:tc>
          <w:tcPr>
            <w:tcW w:w="1490" w:type="dxa"/>
          </w:tcPr>
          <w:p w14:paraId="2F7E90A6" w14:textId="77777777" w:rsidR="00506E7A" w:rsidRPr="00506E7A" w:rsidRDefault="00506E7A" w:rsidP="00F97DB7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506E7A" w:rsidRPr="00506E7A" w14:paraId="596E6614" w14:textId="77777777" w:rsidTr="00F9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5" w:type="dxa"/>
          </w:tcPr>
          <w:p w14:paraId="393ABFD5" w14:textId="1E4C5CF1" w:rsidR="00506E7A" w:rsidRPr="00506E7A" w:rsidRDefault="00506E7A" w:rsidP="00F97DB7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06E7A">
              <w:rPr>
                <w:rFonts w:ascii="Arial" w:hAnsi="Arial" w:cs="Arial"/>
                <w:sz w:val="21"/>
                <w:szCs w:val="21"/>
                <w:lang w:val="en-GB"/>
              </w:rPr>
              <w:t>High flow CPAP (wall CPAP d</w:t>
            </w:r>
            <w:r w:rsidR="00F27B18">
              <w:rPr>
                <w:rFonts w:ascii="Arial" w:hAnsi="Arial" w:cs="Arial"/>
                <w:sz w:val="21"/>
                <w:szCs w:val="21"/>
                <w:lang w:val="en-GB"/>
              </w:rPr>
              <w:t xml:space="preserve">evices, eg UCL Ventura or </w:t>
            </w:r>
            <w:proofErr w:type="spellStart"/>
            <w:r w:rsidR="00F27B18">
              <w:rPr>
                <w:rFonts w:ascii="Arial" w:hAnsi="Arial" w:cs="Arial"/>
                <w:sz w:val="21"/>
                <w:szCs w:val="21"/>
                <w:lang w:val="en-GB"/>
              </w:rPr>
              <w:t>Pulmo</w:t>
            </w:r>
            <w:r w:rsidRPr="00506E7A">
              <w:rPr>
                <w:rFonts w:ascii="Arial" w:hAnsi="Arial" w:cs="Arial"/>
                <w:sz w:val="21"/>
                <w:szCs w:val="21"/>
                <w:lang w:val="en-GB"/>
              </w:rPr>
              <w:t>dyne</w:t>
            </w:r>
            <w:proofErr w:type="spellEnd"/>
            <w:r w:rsidRPr="00506E7A">
              <w:rPr>
                <w:rFonts w:ascii="Arial" w:hAnsi="Arial" w:cs="Arial"/>
                <w:sz w:val="21"/>
                <w:szCs w:val="21"/>
                <w:lang w:val="en-GB"/>
              </w:rPr>
              <w:t>)</w:t>
            </w:r>
          </w:p>
        </w:tc>
        <w:tc>
          <w:tcPr>
            <w:tcW w:w="1530" w:type="dxa"/>
          </w:tcPr>
          <w:p w14:paraId="1DDE2E97" w14:textId="77777777" w:rsidR="00506E7A" w:rsidRPr="00506E7A" w:rsidRDefault="00506E7A" w:rsidP="00F97DB7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1800" w:type="dxa"/>
          </w:tcPr>
          <w:p w14:paraId="6FAE1305" w14:textId="4956D1D1" w:rsidR="00506E7A" w:rsidRPr="00506E7A" w:rsidRDefault="00544647" w:rsidP="00F97DB7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40</w:t>
            </w:r>
          </w:p>
        </w:tc>
        <w:tc>
          <w:tcPr>
            <w:tcW w:w="1490" w:type="dxa"/>
          </w:tcPr>
          <w:p w14:paraId="041CA18E" w14:textId="77777777" w:rsidR="00506E7A" w:rsidRPr="00506E7A" w:rsidRDefault="00506E7A" w:rsidP="00F97DB7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506E7A" w:rsidRPr="00506E7A" w14:paraId="02148C2B" w14:textId="77777777" w:rsidTr="00F97DB7">
        <w:tc>
          <w:tcPr>
            <w:tcW w:w="5245" w:type="dxa"/>
          </w:tcPr>
          <w:p w14:paraId="7B4EEE85" w14:textId="77777777" w:rsidR="00506E7A" w:rsidRPr="00506E7A" w:rsidRDefault="00506E7A" w:rsidP="00F97DB7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06E7A">
              <w:rPr>
                <w:rFonts w:ascii="Arial" w:hAnsi="Arial" w:cs="Arial"/>
                <w:sz w:val="21"/>
                <w:szCs w:val="21"/>
                <w:lang w:val="en-GB"/>
              </w:rPr>
              <w:t>Lower flow CPAP / NIV devices (eg NIPPV)</w:t>
            </w:r>
          </w:p>
        </w:tc>
        <w:tc>
          <w:tcPr>
            <w:tcW w:w="1530" w:type="dxa"/>
          </w:tcPr>
          <w:p w14:paraId="1E215BAE" w14:textId="77777777" w:rsidR="00506E7A" w:rsidRPr="00506E7A" w:rsidRDefault="00506E7A" w:rsidP="00F97DB7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1800" w:type="dxa"/>
          </w:tcPr>
          <w:p w14:paraId="00C6E354" w14:textId="4EDF9415" w:rsidR="00506E7A" w:rsidRPr="00506E7A" w:rsidRDefault="00544647" w:rsidP="00F97DB7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20</w:t>
            </w:r>
          </w:p>
        </w:tc>
        <w:tc>
          <w:tcPr>
            <w:tcW w:w="1490" w:type="dxa"/>
          </w:tcPr>
          <w:p w14:paraId="690BBB12" w14:textId="77777777" w:rsidR="00506E7A" w:rsidRPr="00506E7A" w:rsidRDefault="00506E7A" w:rsidP="00F97DB7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506E7A" w:rsidRPr="00506E7A" w14:paraId="5FE7A8BD" w14:textId="77777777" w:rsidTr="00F9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5" w:type="dxa"/>
          </w:tcPr>
          <w:p w14:paraId="6951F867" w14:textId="77777777" w:rsidR="00506E7A" w:rsidRPr="00506E7A" w:rsidRDefault="00506E7A" w:rsidP="00F97DB7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06E7A">
              <w:rPr>
                <w:rFonts w:ascii="Arial" w:hAnsi="Arial" w:cs="Arial"/>
                <w:sz w:val="21"/>
                <w:szCs w:val="21"/>
                <w:lang w:val="en-GB"/>
              </w:rPr>
              <w:t>Anaesthetic machine</w:t>
            </w:r>
          </w:p>
        </w:tc>
        <w:tc>
          <w:tcPr>
            <w:tcW w:w="1530" w:type="dxa"/>
          </w:tcPr>
          <w:p w14:paraId="08B37CC3" w14:textId="77777777" w:rsidR="00506E7A" w:rsidRPr="00506E7A" w:rsidRDefault="00506E7A" w:rsidP="00F97DB7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1800" w:type="dxa"/>
          </w:tcPr>
          <w:p w14:paraId="68C5FA30" w14:textId="77777777" w:rsidR="00506E7A" w:rsidRPr="00506E7A" w:rsidRDefault="00506E7A" w:rsidP="00F97DB7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06E7A">
              <w:rPr>
                <w:rFonts w:ascii="Arial" w:hAnsi="Arial" w:cs="Arial"/>
                <w:sz w:val="21"/>
                <w:szCs w:val="21"/>
                <w:lang w:val="en-GB"/>
              </w:rPr>
              <w:t>15</w:t>
            </w:r>
          </w:p>
        </w:tc>
        <w:tc>
          <w:tcPr>
            <w:tcW w:w="1490" w:type="dxa"/>
          </w:tcPr>
          <w:p w14:paraId="0E1BE9DE" w14:textId="77777777" w:rsidR="00506E7A" w:rsidRPr="00506E7A" w:rsidRDefault="00506E7A" w:rsidP="00F97DB7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506E7A" w:rsidRPr="00506E7A" w14:paraId="7FD66E20" w14:textId="77777777" w:rsidTr="00F97DB7">
        <w:tc>
          <w:tcPr>
            <w:tcW w:w="5245" w:type="dxa"/>
            <w:tcBorders>
              <w:bottom w:val="single" w:sz="4" w:space="0" w:color="auto"/>
            </w:tcBorders>
          </w:tcPr>
          <w:p w14:paraId="55413240" w14:textId="77777777" w:rsidR="00506E7A" w:rsidRPr="00506E7A" w:rsidRDefault="00506E7A" w:rsidP="00F97DB7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06E7A">
              <w:rPr>
                <w:rFonts w:ascii="Arial" w:hAnsi="Arial" w:cs="Arial"/>
                <w:sz w:val="21"/>
                <w:szCs w:val="21"/>
                <w:lang w:val="en-GB"/>
              </w:rPr>
              <w:t>IPPV critical care ventilator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131A80D" w14:textId="77777777" w:rsidR="00506E7A" w:rsidRPr="00506E7A" w:rsidRDefault="00506E7A" w:rsidP="00F97DB7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08DCA8" w14:textId="77777777" w:rsidR="00506E7A" w:rsidRPr="00506E7A" w:rsidRDefault="00506E7A" w:rsidP="00F97DB7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06E7A">
              <w:rPr>
                <w:rFonts w:ascii="Arial" w:hAnsi="Arial" w:cs="Arial"/>
                <w:sz w:val="21"/>
                <w:szCs w:val="21"/>
                <w:lang w:val="en-GB"/>
              </w:rPr>
              <w:t>15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5405DC04" w14:textId="77777777" w:rsidR="00506E7A" w:rsidRPr="00506E7A" w:rsidRDefault="00506E7A" w:rsidP="00F97DB7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506E7A" w:rsidRPr="00506E7A" w14:paraId="73DF00FC" w14:textId="77777777" w:rsidTr="00F9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5" w:type="dxa"/>
            <w:tcBorders>
              <w:top w:val="single" w:sz="4" w:space="0" w:color="auto"/>
            </w:tcBorders>
          </w:tcPr>
          <w:p w14:paraId="604BB84F" w14:textId="77777777" w:rsidR="00506E7A" w:rsidRPr="00506E7A" w:rsidRDefault="00506E7A" w:rsidP="00F97DB7">
            <w:pPr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506E7A">
              <w:rPr>
                <w:rFonts w:ascii="Arial" w:hAnsi="Arial" w:cs="Arial"/>
                <w:b/>
                <w:sz w:val="21"/>
                <w:szCs w:val="21"/>
                <w:lang w:val="en-GB"/>
              </w:rPr>
              <w:t>TOTAL MAXIMUM POTENTIAL VIE DEMAND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3EAA41C" w14:textId="77777777" w:rsidR="00506E7A" w:rsidRPr="00506E7A" w:rsidRDefault="00506E7A" w:rsidP="00F97DB7">
            <w:pPr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BA6B836" w14:textId="77777777" w:rsidR="00506E7A" w:rsidRPr="00506E7A" w:rsidRDefault="00506E7A" w:rsidP="00F97DB7">
            <w:pPr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75F5DAFD" w14:textId="77777777" w:rsidR="00506E7A" w:rsidRPr="00506E7A" w:rsidRDefault="00506E7A" w:rsidP="00F97DB7">
            <w:pPr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</w:p>
        </w:tc>
      </w:tr>
    </w:tbl>
    <w:p w14:paraId="6ED8EA99" w14:textId="08B27F2C" w:rsidR="00456E26" w:rsidRPr="00504F96" w:rsidRDefault="00456E26" w:rsidP="00506E7A">
      <w:pPr>
        <w:pStyle w:val="BodyText2"/>
        <w:ind w:right="283"/>
        <w:rPr>
          <w:rFonts w:ascii="Arial" w:hAnsi="Arial" w:cs="Arial"/>
          <w:sz w:val="22"/>
          <w:szCs w:val="22"/>
        </w:rPr>
      </w:pPr>
      <w:r w:rsidRPr="00504F96">
        <w:rPr>
          <w:rFonts w:ascii="Arial" w:hAnsi="Arial" w:cs="Arial"/>
          <w:sz w:val="22"/>
          <w:szCs w:val="22"/>
        </w:rPr>
        <w:t xml:space="preserve">Flow rates </w:t>
      </w:r>
      <w:r w:rsidR="00310945" w:rsidRPr="00504F96">
        <w:rPr>
          <w:rFonts w:ascii="Arial" w:hAnsi="Arial" w:cs="Arial"/>
          <w:sz w:val="22"/>
          <w:szCs w:val="22"/>
        </w:rPr>
        <w:t xml:space="preserve">provided above are for illustrative purposes.  These rates </w:t>
      </w:r>
      <w:r w:rsidRPr="00504F96">
        <w:rPr>
          <w:rFonts w:ascii="Arial" w:hAnsi="Arial" w:cs="Arial"/>
          <w:sz w:val="22"/>
          <w:szCs w:val="22"/>
        </w:rPr>
        <w:t>will vary depending on clinical usage and should be reviewed by Trust medical teams.</w:t>
      </w:r>
    </w:p>
    <w:p w14:paraId="4D35C519" w14:textId="12ACF21C" w:rsidR="00506E7A" w:rsidRPr="00506E7A" w:rsidRDefault="00506E7A" w:rsidP="00506E7A">
      <w:pPr>
        <w:pStyle w:val="BodyText2"/>
        <w:ind w:right="283"/>
        <w:rPr>
          <w:rFonts w:ascii="Arial" w:hAnsi="Arial" w:cs="Arial"/>
          <w:b/>
          <w:bCs/>
          <w:sz w:val="22"/>
          <w:szCs w:val="22"/>
        </w:rPr>
      </w:pPr>
      <w:r w:rsidRPr="00506E7A">
        <w:rPr>
          <w:rFonts w:ascii="Arial" w:hAnsi="Arial" w:cs="Arial"/>
          <w:b/>
          <w:bCs/>
          <w:sz w:val="22"/>
          <w:szCs w:val="22"/>
        </w:rPr>
        <w:lastRenderedPageBreak/>
        <w:t>IF THE TOTAL FLOW IS WITHIN 20% OF YOUR MAXIMUM VIE OUTFLOW, TAKE THE FOLLOWING STEPS:</w:t>
      </w:r>
    </w:p>
    <w:p w14:paraId="22D72C2C" w14:textId="3846680C" w:rsidR="00506E7A" w:rsidRPr="00504F96" w:rsidRDefault="00506E7A" w:rsidP="00506E7A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  <w:lang w:val="en-GB"/>
        </w:rPr>
      </w:pPr>
      <w:r w:rsidRPr="00506E7A">
        <w:rPr>
          <w:rFonts w:ascii="Arial" w:hAnsi="Arial" w:cs="Arial"/>
          <w:sz w:val="22"/>
          <w:szCs w:val="22"/>
          <w:lang w:val="en-GB"/>
        </w:rPr>
        <w:t xml:space="preserve">Work with your local medical oxygen engineering team to evaluate the potential of improving the </w:t>
      </w:r>
      <w:r w:rsidRPr="00504F96">
        <w:rPr>
          <w:rFonts w:ascii="Arial" w:hAnsi="Arial" w:cs="Arial"/>
          <w:sz w:val="22"/>
          <w:szCs w:val="22"/>
          <w:lang w:val="en-GB"/>
        </w:rPr>
        <w:t xml:space="preserve">supply and flow of oxygen. </w:t>
      </w:r>
    </w:p>
    <w:p w14:paraId="0012637D" w14:textId="692A694F" w:rsidR="00456E26" w:rsidRPr="00504F96" w:rsidRDefault="00310945" w:rsidP="00506E7A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  <w:lang w:val="en-GB"/>
        </w:rPr>
      </w:pPr>
      <w:r w:rsidRPr="00504F96">
        <w:rPr>
          <w:rFonts w:ascii="Arial" w:hAnsi="Arial" w:cs="Arial"/>
          <w:sz w:val="22"/>
          <w:szCs w:val="22"/>
          <w:lang w:val="en-GB"/>
        </w:rPr>
        <w:t>Review flow rates being provided to patients to check that they are clinically appropriate and not delivering excessive oxygen</w:t>
      </w:r>
      <w:r w:rsidR="00013D35">
        <w:rPr>
          <w:rFonts w:ascii="Arial" w:hAnsi="Arial" w:cs="Arial"/>
          <w:sz w:val="22"/>
          <w:szCs w:val="22"/>
          <w:lang w:val="en-GB"/>
        </w:rPr>
        <w:t>.</w:t>
      </w:r>
    </w:p>
    <w:p w14:paraId="33C65087" w14:textId="77777777" w:rsidR="00506E7A" w:rsidRPr="00504F96" w:rsidRDefault="00506E7A" w:rsidP="00506E7A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  <w:lang w:val="en-GB"/>
        </w:rPr>
      </w:pPr>
      <w:r w:rsidRPr="00504F96">
        <w:rPr>
          <w:rFonts w:ascii="Arial" w:hAnsi="Arial" w:cs="Arial"/>
          <w:sz w:val="22"/>
          <w:szCs w:val="22"/>
          <w:lang w:val="en-GB"/>
        </w:rPr>
        <w:t>Advise all ward team leaders regarding oxygen alarms and who to contact in the event of alarm.</w:t>
      </w:r>
    </w:p>
    <w:p w14:paraId="5A0C1BE4" w14:textId="1B16F6CF" w:rsidR="00506E7A" w:rsidRPr="00504F96" w:rsidRDefault="00506E7A" w:rsidP="00506E7A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  <w:lang w:val="en-GB"/>
        </w:rPr>
      </w:pPr>
      <w:r w:rsidRPr="00504F96">
        <w:rPr>
          <w:rFonts w:ascii="Arial" w:hAnsi="Arial" w:cs="Arial"/>
          <w:sz w:val="22"/>
          <w:szCs w:val="22"/>
          <w:lang w:val="en-GB"/>
        </w:rPr>
        <w:t>Check appropriate oxygen cylinder supply is available in case of emergency</w:t>
      </w:r>
      <w:r w:rsidR="00013D35">
        <w:rPr>
          <w:rFonts w:ascii="Arial" w:hAnsi="Arial" w:cs="Arial"/>
          <w:sz w:val="22"/>
          <w:szCs w:val="22"/>
          <w:lang w:val="en-GB"/>
        </w:rPr>
        <w:t>.</w:t>
      </w:r>
    </w:p>
    <w:p w14:paraId="1D96D34C" w14:textId="5B072762" w:rsidR="00506E7A" w:rsidRPr="00504F96" w:rsidRDefault="00506E7A" w:rsidP="00506E7A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504F96">
        <w:rPr>
          <w:rFonts w:ascii="Arial" w:hAnsi="Arial" w:cs="Arial"/>
          <w:sz w:val="22"/>
          <w:szCs w:val="22"/>
          <w:lang w:val="en-GB"/>
        </w:rPr>
        <w:t xml:space="preserve">Contact the national ventilation procurement team via your critical care team if you would like to swap out high flow CPAP devices (eg UCL Ventura or </w:t>
      </w:r>
      <w:proofErr w:type="spellStart"/>
      <w:r w:rsidRPr="00504F96">
        <w:rPr>
          <w:rFonts w:ascii="Arial" w:hAnsi="Arial" w:cs="Arial"/>
          <w:sz w:val="22"/>
          <w:szCs w:val="22"/>
          <w:lang w:val="en-GB"/>
        </w:rPr>
        <w:t>Pulmodyne</w:t>
      </w:r>
      <w:proofErr w:type="spellEnd"/>
      <w:r w:rsidRPr="00504F96">
        <w:rPr>
          <w:rFonts w:ascii="Arial" w:hAnsi="Arial" w:cs="Arial"/>
          <w:sz w:val="22"/>
          <w:szCs w:val="22"/>
          <w:lang w:val="en-GB"/>
        </w:rPr>
        <w:t>) for lower flow (</w:t>
      </w:r>
      <w:proofErr w:type="spellStart"/>
      <w:r w:rsidRPr="00504F96">
        <w:rPr>
          <w:rFonts w:ascii="Arial" w:hAnsi="Arial" w:cs="Arial"/>
          <w:sz w:val="22"/>
          <w:szCs w:val="22"/>
          <w:lang w:val="en-GB"/>
        </w:rPr>
        <w:t>eg</w:t>
      </w:r>
      <w:proofErr w:type="spellEnd"/>
      <w:r w:rsidRPr="00504F96">
        <w:rPr>
          <w:rFonts w:ascii="Arial" w:hAnsi="Arial" w:cs="Arial"/>
          <w:sz w:val="22"/>
          <w:szCs w:val="22"/>
          <w:lang w:val="en-GB"/>
        </w:rPr>
        <w:t xml:space="preserve"> NIPPV4)</w:t>
      </w:r>
      <w:r w:rsidR="00013D35">
        <w:rPr>
          <w:rFonts w:ascii="Arial" w:hAnsi="Arial" w:cs="Arial"/>
          <w:sz w:val="22"/>
          <w:szCs w:val="22"/>
          <w:lang w:val="en-GB"/>
        </w:rPr>
        <w:t>.</w:t>
      </w:r>
    </w:p>
    <w:p w14:paraId="11E4CC21" w14:textId="3C7EBFAE" w:rsidR="00CB6E7C" w:rsidRPr="00504F96" w:rsidRDefault="00506E7A" w:rsidP="00506E7A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504F96">
        <w:rPr>
          <w:rFonts w:ascii="Arial" w:hAnsi="Arial" w:cs="Arial"/>
          <w:sz w:val="22"/>
          <w:szCs w:val="22"/>
          <w:lang w:val="en-GB"/>
        </w:rPr>
        <w:t xml:space="preserve">Discuss </w:t>
      </w:r>
      <w:r w:rsidR="00D44743" w:rsidRPr="00504F96">
        <w:rPr>
          <w:rFonts w:ascii="Arial" w:hAnsi="Arial" w:cs="Arial"/>
          <w:sz w:val="22"/>
          <w:szCs w:val="22"/>
          <w:lang w:val="en-GB"/>
        </w:rPr>
        <w:t xml:space="preserve">mutual aid and </w:t>
      </w:r>
      <w:r w:rsidRPr="00504F96">
        <w:rPr>
          <w:rFonts w:ascii="Arial" w:hAnsi="Arial" w:cs="Arial"/>
          <w:sz w:val="22"/>
          <w:szCs w:val="22"/>
          <w:lang w:val="en-GB"/>
        </w:rPr>
        <w:t>decompression of patients from your hospital to neighbouring hospitals</w:t>
      </w:r>
      <w:r w:rsidR="00013D35">
        <w:rPr>
          <w:rFonts w:ascii="Arial" w:hAnsi="Arial" w:cs="Arial"/>
          <w:sz w:val="22"/>
          <w:szCs w:val="22"/>
          <w:lang w:val="en-GB"/>
        </w:rPr>
        <w:t>.</w:t>
      </w:r>
    </w:p>
    <w:p w14:paraId="2ACB2001" w14:textId="658C5152" w:rsidR="00310945" w:rsidRPr="00504F96" w:rsidRDefault="00310945" w:rsidP="00506E7A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504F96">
        <w:rPr>
          <w:rFonts w:ascii="Arial" w:hAnsi="Arial" w:cs="Arial"/>
          <w:sz w:val="22"/>
          <w:szCs w:val="22"/>
          <w:lang w:val="en-GB"/>
        </w:rPr>
        <w:t>Ensure surge plans have appropriately considered oxygen availability issues, including maximum sustainable VIE outflow</w:t>
      </w:r>
      <w:r w:rsidR="00013D35">
        <w:rPr>
          <w:rFonts w:ascii="Arial" w:hAnsi="Arial" w:cs="Arial"/>
          <w:sz w:val="22"/>
          <w:szCs w:val="22"/>
          <w:lang w:val="en-GB"/>
        </w:rPr>
        <w:t>.</w:t>
      </w:r>
    </w:p>
    <w:p w14:paraId="20B70C8B" w14:textId="4C8F9231" w:rsidR="00456E26" w:rsidRPr="00B26414" w:rsidRDefault="00456E26" w:rsidP="00456E26">
      <w:pPr>
        <w:spacing w:after="120"/>
        <w:rPr>
          <w:rFonts w:ascii="Arial" w:hAnsi="Arial" w:cs="Arial"/>
          <w:sz w:val="22"/>
          <w:szCs w:val="22"/>
        </w:rPr>
      </w:pPr>
    </w:p>
    <w:p w14:paraId="3AE8302D" w14:textId="3F3D474D" w:rsidR="00456E26" w:rsidRPr="00B26414" w:rsidRDefault="00456E26" w:rsidP="00456E26">
      <w:pPr>
        <w:spacing w:after="120"/>
        <w:rPr>
          <w:rFonts w:ascii="Arial" w:hAnsi="Arial" w:cs="Arial"/>
          <w:sz w:val="22"/>
          <w:szCs w:val="22"/>
        </w:rPr>
      </w:pPr>
      <w:r w:rsidRPr="00B26414">
        <w:rPr>
          <w:rFonts w:ascii="Arial" w:hAnsi="Arial" w:cs="Arial"/>
          <w:sz w:val="22"/>
          <w:szCs w:val="22"/>
        </w:rPr>
        <w:t xml:space="preserve">If you expect your total flow to increase, then assess your increased demand for </w:t>
      </w:r>
      <w:r w:rsidR="00013D35" w:rsidRPr="00B26414">
        <w:rPr>
          <w:rFonts w:ascii="Arial" w:hAnsi="Arial" w:cs="Arial"/>
          <w:sz w:val="22"/>
          <w:szCs w:val="22"/>
        </w:rPr>
        <w:t>o</w:t>
      </w:r>
      <w:r w:rsidRPr="00B26414">
        <w:rPr>
          <w:rFonts w:ascii="Arial" w:hAnsi="Arial" w:cs="Arial"/>
          <w:sz w:val="22"/>
          <w:szCs w:val="22"/>
        </w:rPr>
        <w:t>xygen</w:t>
      </w:r>
      <w:r w:rsidR="00310945" w:rsidRPr="00B26414">
        <w:rPr>
          <w:rFonts w:ascii="Arial" w:hAnsi="Arial" w:cs="Arial"/>
          <w:sz w:val="22"/>
          <w:szCs w:val="22"/>
        </w:rPr>
        <w:t>.  I</w:t>
      </w:r>
      <w:r w:rsidRPr="00B26414">
        <w:rPr>
          <w:rFonts w:ascii="Arial" w:hAnsi="Arial" w:cs="Arial"/>
          <w:sz w:val="22"/>
          <w:szCs w:val="22"/>
        </w:rPr>
        <w:t xml:space="preserve">f it is approaching </w:t>
      </w:r>
      <w:r w:rsidR="00310945" w:rsidRPr="00B26414">
        <w:rPr>
          <w:rFonts w:ascii="Arial" w:hAnsi="Arial" w:cs="Arial"/>
          <w:sz w:val="22"/>
          <w:szCs w:val="22"/>
        </w:rPr>
        <w:t>your maximum VIE outflow then take the steps outline</w:t>
      </w:r>
      <w:r w:rsidR="00013D35" w:rsidRPr="00B26414">
        <w:rPr>
          <w:rFonts w:ascii="Arial" w:hAnsi="Arial" w:cs="Arial"/>
          <w:sz w:val="22"/>
          <w:szCs w:val="22"/>
        </w:rPr>
        <w:t>d</w:t>
      </w:r>
      <w:r w:rsidR="00310945" w:rsidRPr="00B26414">
        <w:rPr>
          <w:rFonts w:ascii="Arial" w:hAnsi="Arial" w:cs="Arial"/>
          <w:sz w:val="22"/>
          <w:szCs w:val="22"/>
        </w:rPr>
        <w:t xml:space="preserve"> above in advance.</w:t>
      </w:r>
    </w:p>
    <w:p w14:paraId="6A08E1B0" w14:textId="77777777" w:rsidR="00310945" w:rsidRPr="00B26414" w:rsidRDefault="00310945" w:rsidP="00456E26">
      <w:pPr>
        <w:spacing w:after="120"/>
        <w:rPr>
          <w:rFonts w:ascii="Arial" w:hAnsi="Arial" w:cs="Arial"/>
          <w:sz w:val="22"/>
          <w:szCs w:val="22"/>
        </w:rPr>
      </w:pPr>
    </w:p>
    <w:p w14:paraId="5508FE78" w14:textId="2CE531A9" w:rsidR="00456E26" w:rsidRPr="00B26414" w:rsidRDefault="00310945" w:rsidP="00456E26">
      <w:pPr>
        <w:spacing w:after="120"/>
        <w:rPr>
          <w:rFonts w:ascii="Arial" w:hAnsi="Arial" w:cs="Arial"/>
          <w:sz w:val="22"/>
          <w:szCs w:val="22"/>
        </w:rPr>
      </w:pPr>
      <w:r w:rsidRPr="00B26414">
        <w:rPr>
          <w:rFonts w:ascii="Arial" w:hAnsi="Arial" w:cs="Arial"/>
          <w:sz w:val="22"/>
          <w:szCs w:val="22"/>
        </w:rPr>
        <w:t xml:space="preserve">These steps help protect against Oxygen demand exceeding VIE maximum outflow – they do </w:t>
      </w:r>
      <w:r w:rsidRPr="00B26414">
        <w:rPr>
          <w:rFonts w:ascii="Arial" w:hAnsi="Arial" w:cs="Arial"/>
          <w:b/>
          <w:bCs/>
          <w:sz w:val="22"/>
          <w:szCs w:val="22"/>
        </w:rPr>
        <w:t>not</w:t>
      </w:r>
      <w:r w:rsidRPr="00B26414">
        <w:rPr>
          <w:rFonts w:ascii="Arial" w:hAnsi="Arial" w:cs="Arial"/>
          <w:sz w:val="22"/>
          <w:szCs w:val="22"/>
        </w:rPr>
        <w:t xml:space="preserve"> protect against inadequate pipework issues which need to be considered separately.</w:t>
      </w:r>
    </w:p>
    <w:p w14:paraId="6FAEEE51" w14:textId="24F99609" w:rsidR="00013D35" w:rsidRPr="00B26414" w:rsidRDefault="00013D35" w:rsidP="00456E26">
      <w:pPr>
        <w:spacing w:after="120"/>
        <w:rPr>
          <w:rFonts w:ascii="Arial" w:hAnsi="Arial" w:cs="Arial"/>
          <w:sz w:val="22"/>
          <w:szCs w:val="22"/>
        </w:rPr>
      </w:pPr>
    </w:p>
    <w:p w14:paraId="09E04533" w14:textId="4CB33760" w:rsidR="00013D35" w:rsidRPr="00B26414" w:rsidRDefault="00013D35" w:rsidP="00456E26">
      <w:pPr>
        <w:spacing w:after="120"/>
        <w:rPr>
          <w:rFonts w:ascii="Arial" w:hAnsi="Arial" w:cs="Arial"/>
          <w:sz w:val="22"/>
          <w:szCs w:val="22"/>
        </w:rPr>
      </w:pPr>
    </w:p>
    <w:sectPr w:rsidR="00013D35" w:rsidRPr="00B26414" w:rsidSect="00506E7A">
      <w:footerReference w:type="default" r:id="rId9"/>
      <w:type w:val="continuous"/>
      <w:pgSz w:w="11907" w:h="16840" w:code="9"/>
      <w:pgMar w:top="1135" w:right="708" w:bottom="0" w:left="85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CD675" w14:textId="77777777" w:rsidR="00971B6C" w:rsidRDefault="00971B6C" w:rsidP="00506E7A">
      <w:r>
        <w:separator/>
      </w:r>
    </w:p>
  </w:endnote>
  <w:endnote w:type="continuationSeparator" w:id="0">
    <w:p w14:paraId="4223A9DC" w14:textId="77777777" w:rsidR="00971B6C" w:rsidRDefault="00971B6C" w:rsidP="0050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AEBB0" w14:textId="77777777" w:rsidR="00B50C5E" w:rsidRDefault="000E461E" w:rsidP="00FE141F">
    <w:pPr>
      <w:pStyle w:val="Footer"/>
      <w:jc w:val="right"/>
    </w:pPr>
    <w:r>
      <w:rPr>
        <w:noProof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460" w:type="pct"/>
      <w:tblInd w:w="-510" w:type="dxa"/>
      <w:tblBorders>
        <w:top w:val="single" w:sz="8" w:space="0" w:color="005EB8"/>
      </w:tblBorders>
      <w:tblLook w:val="04A0" w:firstRow="1" w:lastRow="0" w:firstColumn="1" w:lastColumn="0" w:noHBand="0" w:noVBand="1"/>
    </w:tblPr>
    <w:tblGrid>
      <w:gridCol w:w="10773"/>
    </w:tblGrid>
    <w:tr w:rsidR="00462A59" w14:paraId="0CA0E5AF" w14:textId="77777777" w:rsidTr="00AF3AB1">
      <w:trPr>
        <w:trHeight w:val="510"/>
      </w:trPr>
      <w:tc>
        <w:tcPr>
          <w:tcW w:w="9071" w:type="dxa"/>
          <w:vAlign w:val="bottom"/>
        </w:tcPr>
        <w:p w14:paraId="3F3919D5" w14:textId="77777777" w:rsidR="00462A59" w:rsidRDefault="00F27B18" w:rsidP="00676718">
          <w:pPr>
            <w:pStyle w:val="Footer"/>
            <w:spacing w:after="20"/>
          </w:pPr>
          <w:r>
            <w:rPr>
              <w:noProof/>
            </w:rPr>
            <w:t>2</w:t>
          </w:r>
          <w:r w:rsidR="000E461E" w:rsidRPr="009F3884">
            <w:t xml:space="preserve"> </w:t>
          </w:r>
          <w:r w:rsidR="000E461E">
            <w:t xml:space="preserve"> </w:t>
          </w:r>
          <w:r w:rsidR="000E461E" w:rsidRPr="009F3884">
            <w:rPr>
              <w:rStyle w:val="FooterPipe"/>
            </w:rPr>
            <w:t>|</w:t>
          </w:r>
          <w:r w:rsidR="000E461E" w:rsidRPr="00877581">
            <w:t xml:space="preserve"> </w:t>
          </w:r>
          <w:r w:rsidR="000E461E" w:rsidRPr="009F3884">
            <w:t xml:space="preserve"> </w:t>
          </w:r>
          <w:r w:rsidR="000E461E">
            <w:t>Use title of briefing as footer</w:t>
          </w:r>
        </w:p>
      </w:tc>
    </w:tr>
  </w:tbl>
  <w:p w14:paraId="1398343B" w14:textId="77777777" w:rsidR="00462A59" w:rsidRDefault="00756867" w:rsidP="00462A59">
    <w:pPr>
      <w:pStyle w:val="Spac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B1DA6" w14:textId="77777777" w:rsidR="00971B6C" w:rsidRDefault="00971B6C" w:rsidP="00506E7A">
      <w:r>
        <w:separator/>
      </w:r>
    </w:p>
  </w:footnote>
  <w:footnote w:type="continuationSeparator" w:id="0">
    <w:p w14:paraId="167C00CA" w14:textId="77777777" w:rsidR="00971B6C" w:rsidRDefault="00971B6C" w:rsidP="00506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CB576" w14:textId="77777777" w:rsidR="00435B1A" w:rsidRPr="00197953" w:rsidRDefault="000E461E" w:rsidP="00197953">
    <w:pPr>
      <w:pStyle w:val="Header"/>
    </w:pPr>
    <w:r w:rsidRPr="00D519A9">
      <w:rPr>
        <w:noProof/>
        <w:sz w:val="24"/>
        <w:u w:val="none"/>
        <w:lang w:eastAsia="en-GB"/>
      </w:rPr>
      <w:drawing>
        <wp:anchor distT="0" distB="0" distL="114300" distR="114300" simplePos="0" relativeHeight="251656192" behindDoc="1" locked="0" layoutInCell="1" allowOverlap="1" wp14:anchorId="6FF7E32B" wp14:editId="13D2EED2">
          <wp:simplePos x="0" y="0"/>
          <wp:positionH relativeFrom="page">
            <wp:posOffset>5469255</wp:posOffset>
          </wp:positionH>
          <wp:positionV relativeFrom="page">
            <wp:posOffset>579755</wp:posOffset>
          </wp:positionV>
          <wp:extent cx="1440000" cy="57960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7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19A9">
      <w:rPr>
        <w:noProof/>
        <w:sz w:val="24"/>
        <w:u w:val="none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20AE0E" wp14:editId="66C218AA">
              <wp:simplePos x="0" y="0"/>
              <wp:positionH relativeFrom="column">
                <wp:posOffset>61784</wp:posOffset>
              </wp:positionH>
              <wp:positionV relativeFrom="paragraph">
                <wp:posOffset>33547</wp:posOffset>
              </wp:positionV>
              <wp:extent cx="544749" cy="496111"/>
              <wp:effectExtent l="0" t="0" r="0" b="0"/>
              <wp:wrapNone/>
              <wp:docPr id="2" name="NHS Improvement Briefing A4 Portrait 1 Co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4749" cy="4961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232DE12E" id="NHS Improvement Briefing A4 Portrait 1 Col" o:spid="_x0000_s1026" style="position:absolute;margin-left:4.85pt;margin-top:2.65pt;width:42.9pt;height:39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" filled="f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C50D7"/>
    <w:multiLevelType w:val="hybridMultilevel"/>
    <w:tmpl w:val="117406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0CDC"/>
    <w:multiLevelType w:val="hybridMultilevel"/>
    <w:tmpl w:val="1D280FF2"/>
    <w:lvl w:ilvl="0" w:tplc="2FBCC256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AD307B"/>
    <w:multiLevelType w:val="hybridMultilevel"/>
    <w:tmpl w:val="44A4A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A14D2"/>
    <w:multiLevelType w:val="multilevel"/>
    <w:tmpl w:val="01EAB8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D808AA"/>
    <w:multiLevelType w:val="hybridMultilevel"/>
    <w:tmpl w:val="2A042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E7A"/>
    <w:rsid w:val="00013D35"/>
    <w:rsid w:val="000E461E"/>
    <w:rsid w:val="001764BD"/>
    <w:rsid w:val="00263931"/>
    <w:rsid w:val="002B2643"/>
    <w:rsid w:val="002E2FE5"/>
    <w:rsid w:val="00310945"/>
    <w:rsid w:val="00322C29"/>
    <w:rsid w:val="00456E26"/>
    <w:rsid w:val="00504F96"/>
    <w:rsid w:val="00506E7A"/>
    <w:rsid w:val="00544647"/>
    <w:rsid w:val="00663BCA"/>
    <w:rsid w:val="006E6278"/>
    <w:rsid w:val="00736011"/>
    <w:rsid w:val="00756867"/>
    <w:rsid w:val="007B4AE6"/>
    <w:rsid w:val="00821686"/>
    <w:rsid w:val="00971B6C"/>
    <w:rsid w:val="00AF51B3"/>
    <w:rsid w:val="00B26414"/>
    <w:rsid w:val="00B8429B"/>
    <w:rsid w:val="00C24A6B"/>
    <w:rsid w:val="00CA5BDF"/>
    <w:rsid w:val="00CB6E7C"/>
    <w:rsid w:val="00CE0127"/>
    <w:rsid w:val="00D44743"/>
    <w:rsid w:val="00D52E50"/>
    <w:rsid w:val="00F27B18"/>
    <w:rsid w:val="00FA130B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622B97"/>
  <w15:chartTrackingRefBased/>
  <w15:docId w15:val="{FD5A2626-589F-4B11-88B1-0C2691CE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6E7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06E7A"/>
    <w:pPr>
      <w:tabs>
        <w:tab w:val="center" w:pos="4513"/>
        <w:tab w:val="right" w:pos="9026"/>
      </w:tabs>
    </w:pPr>
    <w:rPr>
      <w:color w:val="768692"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506E7A"/>
    <w:rPr>
      <w:color w:val="768692"/>
      <w:sz w:val="25"/>
      <w:szCs w:val="24"/>
    </w:rPr>
  </w:style>
  <w:style w:type="paragraph" w:styleId="Header">
    <w:name w:val="header"/>
    <w:aliases w:val="~Header"/>
    <w:basedOn w:val="Normal"/>
    <w:link w:val="HeaderChar"/>
    <w:uiPriority w:val="99"/>
    <w:rsid w:val="00506E7A"/>
    <w:pPr>
      <w:tabs>
        <w:tab w:val="center" w:pos="4513"/>
        <w:tab w:val="right" w:pos="9026"/>
      </w:tabs>
    </w:pPr>
    <w:rPr>
      <w:b/>
      <w:color w:val="768692"/>
      <w:sz w:val="28"/>
      <w:u w:val="single" w:color="00A9CE"/>
    </w:r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506E7A"/>
    <w:rPr>
      <w:b/>
      <w:color w:val="768692"/>
      <w:sz w:val="28"/>
      <w:szCs w:val="24"/>
      <w:u w:val="single" w:color="00A9CE"/>
    </w:rPr>
  </w:style>
  <w:style w:type="table" w:styleId="TableGrid">
    <w:name w:val="Table Grid"/>
    <w:basedOn w:val="TableNormal"/>
    <w:uiPriority w:val="39"/>
    <w:rsid w:val="00506E7A"/>
    <w:pPr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506E7A"/>
    <w:pPr>
      <w:spacing w:after="200"/>
      <w:contextualSpacing/>
    </w:pPr>
    <w:rPr>
      <w:rFonts w:eastAsiaTheme="majorEastAsia" w:cstheme="majorBidi"/>
      <w:color w:val="005EB8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rsid w:val="00506E7A"/>
    <w:rPr>
      <w:rFonts w:eastAsiaTheme="majorEastAsia" w:cstheme="majorBidi"/>
      <w:color w:val="005EB8"/>
      <w:spacing w:val="-10"/>
      <w:kern w:val="28"/>
      <w:sz w:val="96"/>
      <w:szCs w:val="56"/>
    </w:rPr>
  </w:style>
  <w:style w:type="character" w:customStyle="1" w:styleId="FooterPipe">
    <w:name w:val="Footer Pipe"/>
    <w:basedOn w:val="DefaultParagraphFont"/>
    <w:uiPriority w:val="1"/>
    <w:rsid w:val="00506E7A"/>
    <w:rPr>
      <w:b/>
      <w:color w:val="005EB8"/>
    </w:rPr>
  </w:style>
  <w:style w:type="paragraph" w:customStyle="1" w:styleId="IntroText">
    <w:name w:val="Intro Text"/>
    <w:basedOn w:val="Normal"/>
    <w:qFormat/>
    <w:rsid w:val="00506E7A"/>
    <w:pPr>
      <w:spacing w:line="400" w:lineRule="exact"/>
    </w:pPr>
    <w:rPr>
      <w:color w:val="005EB8"/>
      <w:sz w:val="28"/>
    </w:rPr>
  </w:style>
  <w:style w:type="table" w:customStyle="1" w:styleId="NHSTable">
    <w:name w:val="NHS Table"/>
    <w:basedOn w:val="TableNormal"/>
    <w:uiPriority w:val="99"/>
    <w:rsid w:val="00506E7A"/>
    <w:pPr>
      <w:spacing w:after="0" w:line="240" w:lineRule="auto"/>
    </w:pPr>
    <w:rPr>
      <w:rFonts w:ascii="Times New Roman" w:hAnsi="Times New Roman"/>
      <w:sz w:val="24"/>
      <w:szCs w:val="24"/>
      <w:lang w:val="id-ID"/>
    </w:rPr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paragraph" w:customStyle="1" w:styleId="Spacer">
    <w:name w:val="Spacer"/>
    <w:basedOn w:val="Normal"/>
    <w:next w:val="Normal"/>
    <w:rsid w:val="00506E7A"/>
    <w:rPr>
      <w:sz w:val="2"/>
    </w:rPr>
  </w:style>
  <w:style w:type="paragraph" w:styleId="BodyText2">
    <w:name w:val="Body Text 2"/>
    <w:basedOn w:val="BodyText"/>
    <w:link w:val="BodyText2Char"/>
    <w:qFormat/>
    <w:rsid w:val="00506E7A"/>
    <w:pPr>
      <w:spacing w:after="280" w:line="360" w:lineRule="atLeast"/>
    </w:pPr>
  </w:style>
  <w:style w:type="character" w:customStyle="1" w:styleId="BodyText2Char">
    <w:name w:val="Body Text 2 Char"/>
    <w:basedOn w:val="DefaultParagraphFont"/>
    <w:link w:val="BodyText2"/>
    <w:rsid w:val="00506E7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06E7A"/>
    <w:pPr>
      <w:ind w:left="720"/>
      <w:contextualSpacing/>
    </w:pPr>
    <w:rPr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06E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6E7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BC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BC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3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B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B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BC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F66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Waterman</dc:creator>
  <cp:keywords/>
  <dc:description/>
  <cp:lastModifiedBy>Mark Fisher</cp:lastModifiedBy>
  <cp:revision>2</cp:revision>
  <cp:lastPrinted>2020-12-25T08:49:00Z</cp:lastPrinted>
  <dcterms:created xsi:type="dcterms:W3CDTF">2020-12-25T08:50:00Z</dcterms:created>
  <dcterms:modified xsi:type="dcterms:W3CDTF">2020-12-25T08:50:00Z</dcterms:modified>
</cp:coreProperties>
</file>